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8D3CB" w14:textId="6CFAE815" w:rsidR="0042187A" w:rsidRPr="00E411FF" w:rsidRDefault="0042187A" w:rsidP="0042187A">
      <w:pPr>
        <w:jc w:val="center"/>
        <w:rPr>
          <w:b/>
          <w:bCs/>
        </w:rPr>
      </w:pPr>
      <w:r w:rsidRPr="00E411FF">
        <w:rPr>
          <w:b/>
          <w:bCs/>
        </w:rPr>
        <w:t>PLANO DE CONTIGÊNCIA PARA O DEPARTAMENTO DE TECNOLOGIA DA INFORMAÇÃO DO CONSELHO REGIONAL DE ENGENHARIA E AGRONOMIA DO ACRE</w:t>
      </w:r>
    </w:p>
    <w:p w14:paraId="2163C789" w14:textId="77777777" w:rsidR="0042187A" w:rsidRDefault="0042187A" w:rsidP="0042187A">
      <w:pPr>
        <w:jc w:val="center"/>
      </w:pPr>
    </w:p>
    <w:p w14:paraId="54A1B902" w14:textId="77777777" w:rsidR="0042187A" w:rsidRDefault="0042187A" w:rsidP="0042187A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Um plano de contingência para T.I. (Tecnologia da Informação) é um conjunto de medidas e procedimentos pré-definidos que uma organização adota para lidar com eventos imprevistos ou desastres que possam afetar seus sistemas de tecnologia. O objetivo principal do plano de contingência é garantir a continuidade dos serviços de T.I. e minimizar os impactos negativos decorrentes de interrupções.</w:t>
      </w:r>
    </w:p>
    <w:p w14:paraId="5B435738" w14:textId="77777777" w:rsidR="0042187A" w:rsidRDefault="0042187A" w:rsidP="0042187A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Um plano de contingência típico para T.I. geralmente inclui as seguintes etapas:</w:t>
      </w:r>
    </w:p>
    <w:p w14:paraId="4175E2D9" w14:textId="77777777" w:rsidR="0042187A" w:rsidRDefault="0042187A" w:rsidP="0042187A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Análise de riscos: Identificação dos principais riscos que podem afetar os sistemas de T.I. da organização, como falhas de hardware, ataque de hackers, desastres naturais, entre outros.</w:t>
      </w:r>
    </w:p>
    <w:p w14:paraId="628C8110" w14:textId="77777777" w:rsidR="0042187A" w:rsidRDefault="0042187A" w:rsidP="0042187A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Avaliação de impacto: Avaliação dos possíveis impactos desses riscos, incluindo perda de dados, interrupção dos serviços, danos financeiros, perda de reputação, entre outros.</w:t>
      </w:r>
    </w:p>
    <w:p w14:paraId="434021AC" w14:textId="77777777" w:rsidR="0042187A" w:rsidRDefault="0042187A" w:rsidP="0042187A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Estratégias de mitigação: Desenvolvimento de estratégias e medidas para mitigar os riscos identificados. Isso pode incluir a implementação de medidas de segurança, redundância de sistemas, backup regular de dados, treinamento de funcionários, entre outros.</w:t>
      </w:r>
    </w:p>
    <w:p w14:paraId="0E589BAE" w14:textId="77777777" w:rsidR="0042187A" w:rsidRDefault="0042187A" w:rsidP="0042187A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Plano de resposta a incidentes: Definição de um plano detalhado para responder a incidentes e lidar com interrupções. Isso envolve a designação de responsabilidades, a criação de uma cadeia de comunicação eficaz, a definição de procedimentos de resposta a incidentes e a realização de simulações e testes periódicos para garantir que o plano esteja atualizado e funcionando corretamente.</w:t>
      </w:r>
    </w:p>
    <w:p w14:paraId="78590DAB" w14:textId="77777777" w:rsidR="0042187A" w:rsidRDefault="0042187A" w:rsidP="0042187A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Recuperação de desastres: Definição de medidas para recuperar os sistemas de T.I. após um incidente grave. Isso pode incluir a restauração de backups, a recuperação de dados perdidos, a reparação de hardware danificado, entre outros.</w:t>
      </w:r>
    </w:p>
    <w:p w14:paraId="0B6E4073" w14:textId="77777777" w:rsidR="0042187A" w:rsidRDefault="0042187A" w:rsidP="0042187A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Treinamento e conscientização: Realização de treinamentos regulares para os funcionários sobre os procedimentos do plano de contingência, </w:t>
      </w:r>
      <w:r>
        <w:rPr>
          <w:rFonts w:ascii="Segoe UI" w:hAnsi="Segoe UI" w:cs="Segoe UI"/>
          <w:color w:val="374151"/>
        </w:rPr>
        <w:lastRenderedPageBreak/>
        <w:t>além de promover a conscientização sobre a importância da segurança da informação e da adoção de boas práticas de T.I.</w:t>
      </w:r>
    </w:p>
    <w:p w14:paraId="1FAB41D6" w14:textId="77777777" w:rsidR="0042187A" w:rsidRDefault="0042187A" w:rsidP="0042187A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É importante ressaltar que um plano de contingência para T.I. deve ser revisado e atualizado regularmente para se adaptar às mudanças na infraestrutura de tecnologia e nos riscos enfrentados pela organização. Além disso, é essencial que o plano seja testado por meio de exercícios de simulação e que haja um processo contínuo de melhoria e aprimoramento.</w:t>
      </w:r>
    </w:p>
    <w:p w14:paraId="41BC5313" w14:textId="77777777" w:rsidR="0042187A" w:rsidRDefault="0042187A" w:rsidP="0042187A"/>
    <w:p w14:paraId="774479D7" w14:textId="77777777" w:rsidR="0042187A" w:rsidRPr="0042187A" w:rsidRDefault="0042187A" w:rsidP="0042187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</w:pPr>
      <w:r w:rsidRPr="0042187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  <w:t>Plano de Contingência para T.I. do Conselho Regional de Engenharia e Agronomia do Acre</w:t>
      </w:r>
    </w:p>
    <w:p w14:paraId="19031C14" w14:textId="77777777" w:rsidR="0042187A" w:rsidRPr="0042187A" w:rsidRDefault="0042187A" w:rsidP="0042187A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</w:pPr>
      <w:r w:rsidRPr="0042187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  <w:t>Análise de riscos:</w:t>
      </w:r>
    </w:p>
    <w:p w14:paraId="2758DF31" w14:textId="77777777" w:rsidR="0042187A" w:rsidRPr="0042187A" w:rsidRDefault="0042187A" w:rsidP="0042187A">
      <w:pPr>
        <w:numPr>
          <w:ilvl w:val="1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</w:pPr>
      <w:r w:rsidRPr="0042187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  <w:t>Identificar os principais riscos que podem afetar os sistemas de T.I., como falhas de hardware, falhas de software, ataques de hackers, desastres naturais, interrupções de energia, entre outros.</w:t>
      </w:r>
    </w:p>
    <w:p w14:paraId="17772FEC" w14:textId="77777777" w:rsidR="0042187A" w:rsidRPr="0042187A" w:rsidRDefault="0042187A" w:rsidP="0042187A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</w:pPr>
      <w:r w:rsidRPr="0042187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  <w:t>Avaliação de impacto:</w:t>
      </w:r>
    </w:p>
    <w:p w14:paraId="52763166" w14:textId="77777777" w:rsidR="0042187A" w:rsidRPr="0042187A" w:rsidRDefault="0042187A" w:rsidP="0042187A">
      <w:pPr>
        <w:numPr>
          <w:ilvl w:val="1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</w:pPr>
      <w:r w:rsidRPr="0042187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  <w:t>Avaliar os possíveis impactos desses riscos, incluindo interrupção dos serviços, perda de dados, danos financeiros, perda de reputação, entre outros.</w:t>
      </w:r>
    </w:p>
    <w:p w14:paraId="1B51E688" w14:textId="77777777" w:rsidR="0042187A" w:rsidRPr="0042187A" w:rsidRDefault="0042187A" w:rsidP="0042187A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</w:pPr>
      <w:r w:rsidRPr="0042187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  <w:t>Estratégias de mitigação:</w:t>
      </w:r>
    </w:p>
    <w:p w14:paraId="3005A608" w14:textId="77777777" w:rsidR="0042187A" w:rsidRPr="0042187A" w:rsidRDefault="0042187A" w:rsidP="0042187A">
      <w:pPr>
        <w:numPr>
          <w:ilvl w:val="1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</w:pPr>
      <w:r w:rsidRPr="0042187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  <w:t xml:space="preserve">Implementar medidas de segurança, como firewalls, antivírus, sistemas de detecção de intrusões, para proteger os sistemas de T.I. </w:t>
      </w:r>
      <w:proofErr w:type="gramStart"/>
      <w:r w:rsidRPr="0042187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  <w:t>contra ataques</w:t>
      </w:r>
      <w:proofErr w:type="gramEnd"/>
      <w:r w:rsidRPr="0042187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  <w:t xml:space="preserve"> externos.</w:t>
      </w:r>
    </w:p>
    <w:p w14:paraId="63BF4457" w14:textId="77777777" w:rsidR="0042187A" w:rsidRPr="0042187A" w:rsidRDefault="0042187A" w:rsidP="0042187A">
      <w:pPr>
        <w:numPr>
          <w:ilvl w:val="1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</w:pPr>
      <w:r w:rsidRPr="0042187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  <w:t>Realizar backups regulares dos dados críticos e armazená-los em locais seguros e fora das instalações principais.</w:t>
      </w:r>
    </w:p>
    <w:p w14:paraId="3BADA9BA" w14:textId="77777777" w:rsidR="0042187A" w:rsidRPr="0042187A" w:rsidRDefault="0042187A" w:rsidP="0042187A">
      <w:pPr>
        <w:numPr>
          <w:ilvl w:val="1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</w:pPr>
      <w:r w:rsidRPr="0042187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  <w:t>Estabelecer redundância nos sistemas, incluindo servidores espelhados e fontes de energia alternativas, para garantir a disponibilidade contínua dos serviços.</w:t>
      </w:r>
    </w:p>
    <w:p w14:paraId="10552289" w14:textId="77777777" w:rsidR="0042187A" w:rsidRPr="0042187A" w:rsidRDefault="0042187A" w:rsidP="0042187A">
      <w:pPr>
        <w:numPr>
          <w:ilvl w:val="1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</w:pPr>
      <w:r w:rsidRPr="0042187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  <w:t>Implementar políticas de acesso e controle de dados para garantir que apenas usuários autorizados tenham acesso aos recursos de T.I.</w:t>
      </w:r>
    </w:p>
    <w:p w14:paraId="2D1A8CB4" w14:textId="77777777" w:rsidR="0042187A" w:rsidRPr="0042187A" w:rsidRDefault="0042187A" w:rsidP="0042187A">
      <w:pPr>
        <w:numPr>
          <w:ilvl w:val="1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</w:pPr>
      <w:r w:rsidRPr="0042187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  <w:t>Manter os sistemas e software atualizados com as versões mais recentes e corrigir vulnerabilidades conhecidas.</w:t>
      </w:r>
    </w:p>
    <w:p w14:paraId="6E94B24D" w14:textId="77777777" w:rsidR="0042187A" w:rsidRPr="0042187A" w:rsidRDefault="0042187A" w:rsidP="0042187A">
      <w:pPr>
        <w:numPr>
          <w:ilvl w:val="1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</w:pPr>
      <w:r w:rsidRPr="0042187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  <w:lastRenderedPageBreak/>
        <w:t>Realizar auditorias de segurança periódicas para identificar possíveis vulnerabilidades e corrigi-las.</w:t>
      </w:r>
    </w:p>
    <w:p w14:paraId="598916CD" w14:textId="77777777" w:rsidR="0042187A" w:rsidRPr="0042187A" w:rsidRDefault="0042187A" w:rsidP="0042187A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</w:pPr>
      <w:r w:rsidRPr="0042187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  <w:t>Plano de resposta a incidentes:</w:t>
      </w:r>
    </w:p>
    <w:p w14:paraId="7B3CA6C9" w14:textId="77777777" w:rsidR="0042187A" w:rsidRPr="0042187A" w:rsidRDefault="0042187A" w:rsidP="0042187A">
      <w:pPr>
        <w:numPr>
          <w:ilvl w:val="1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</w:pPr>
      <w:r w:rsidRPr="0042187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  <w:t>Definir um plano detalhado de resposta a incidentes, incluindo uma equipe de resposta composta por membros de diferentes áreas da organização.</w:t>
      </w:r>
    </w:p>
    <w:p w14:paraId="60D777EF" w14:textId="77777777" w:rsidR="0042187A" w:rsidRPr="0042187A" w:rsidRDefault="0042187A" w:rsidP="0042187A">
      <w:pPr>
        <w:numPr>
          <w:ilvl w:val="1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</w:pPr>
      <w:r w:rsidRPr="0042187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  <w:t>Estabelecer uma cadeia de comunicação clara para notificar rapidamente as partes relevantes em caso de incidente.</w:t>
      </w:r>
    </w:p>
    <w:p w14:paraId="45210309" w14:textId="77777777" w:rsidR="0042187A" w:rsidRPr="0042187A" w:rsidRDefault="0042187A" w:rsidP="0042187A">
      <w:pPr>
        <w:numPr>
          <w:ilvl w:val="1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</w:pPr>
      <w:r w:rsidRPr="0042187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  <w:t>Documentar os procedimentos a serem seguidos em diferentes tipos de incidentes, como violação de dados, falha de sistema ou interrupção de serviços.</w:t>
      </w:r>
    </w:p>
    <w:p w14:paraId="1E7E49BC" w14:textId="77777777" w:rsidR="0042187A" w:rsidRPr="0042187A" w:rsidRDefault="0042187A" w:rsidP="0042187A">
      <w:pPr>
        <w:numPr>
          <w:ilvl w:val="1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</w:pPr>
      <w:r w:rsidRPr="0042187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  <w:t>Realizar treinamentos regulares para a equipe de resposta a incidentes, simulando cenários de crise e praticando os procedimentos de resposta.</w:t>
      </w:r>
    </w:p>
    <w:p w14:paraId="6DDF867D" w14:textId="77777777" w:rsidR="0042187A" w:rsidRPr="0042187A" w:rsidRDefault="0042187A" w:rsidP="0042187A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</w:pPr>
      <w:r w:rsidRPr="0042187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  <w:t>Recuperação de desastres:</w:t>
      </w:r>
    </w:p>
    <w:p w14:paraId="33375768" w14:textId="77777777" w:rsidR="0042187A" w:rsidRPr="0042187A" w:rsidRDefault="0042187A" w:rsidP="0042187A">
      <w:pPr>
        <w:numPr>
          <w:ilvl w:val="1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</w:pPr>
      <w:r w:rsidRPr="0042187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  <w:t>Estabelecer procedimentos de recuperação de desastres para restaurar os sistemas e serviços de T.I. após um incidente grave.</w:t>
      </w:r>
    </w:p>
    <w:p w14:paraId="6D20FD21" w14:textId="77777777" w:rsidR="0042187A" w:rsidRPr="0042187A" w:rsidRDefault="0042187A" w:rsidP="0042187A">
      <w:pPr>
        <w:numPr>
          <w:ilvl w:val="1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</w:pPr>
      <w:r w:rsidRPr="0042187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  <w:t>Manter backups atualizados e testados regularmente para garantir a integridade dos dados.</w:t>
      </w:r>
    </w:p>
    <w:p w14:paraId="259BDEB7" w14:textId="77777777" w:rsidR="0042187A" w:rsidRPr="0042187A" w:rsidRDefault="0042187A" w:rsidP="0042187A">
      <w:pPr>
        <w:numPr>
          <w:ilvl w:val="1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</w:pPr>
      <w:r w:rsidRPr="0042187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  <w:t>Estabelecer um local de recuperação alternativo onde os serviços possam ser restaurados em caso de danos às instalações principais.</w:t>
      </w:r>
    </w:p>
    <w:p w14:paraId="67BBD28B" w14:textId="77777777" w:rsidR="0042187A" w:rsidRPr="0042187A" w:rsidRDefault="0042187A" w:rsidP="0042187A">
      <w:pPr>
        <w:numPr>
          <w:ilvl w:val="1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</w:pPr>
      <w:r w:rsidRPr="0042187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  <w:t>Documentar os procedimentos de recuperação e designar responsabilidades claras para cada etapa do processo.</w:t>
      </w:r>
    </w:p>
    <w:p w14:paraId="2B8903F3" w14:textId="77777777" w:rsidR="0042187A" w:rsidRPr="0042187A" w:rsidRDefault="0042187A" w:rsidP="0042187A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</w:pPr>
      <w:r w:rsidRPr="0042187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  <w:t>Treinamento e conscientização:</w:t>
      </w:r>
    </w:p>
    <w:p w14:paraId="426958DE" w14:textId="77777777" w:rsidR="0042187A" w:rsidRPr="0042187A" w:rsidRDefault="0042187A" w:rsidP="0042187A">
      <w:pPr>
        <w:numPr>
          <w:ilvl w:val="1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</w:pPr>
      <w:r w:rsidRPr="0042187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  <w:t>Realizar treinamentos regulares para os funcionários sobre as políticas de segurança da informação, boas práticas de T.I. e os procedimentos do plano de contingência.</w:t>
      </w:r>
    </w:p>
    <w:p w14:paraId="5E832373" w14:textId="77777777" w:rsidR="0042187A" w:rsidRPr="0042187A" w:rsidRDefault="0042187A" w:rsidP="0042187A">
      <w:pPr>
        <w:numPr>
          <w:ilvl w:val="1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</w:pPr>
      <w:r w:rsidRPr="0042187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  <w:t>Promover a conscientização sobre a importância da segurança da informação e incentivar os funcionários a relatarem quaisquer incidentes ou vulnerabilidades detectadas.</w:t>
      </w:r>
    </w:p>
    <w:p w14:paraId="67F3D4B5" w14:textId="77777777" w:rsidR="0042187A" w:rsidRPr="0042187A" w:rsidRDefault="0042187A" w:rsidP="0042187A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</w:pPr>
      <w:r w:rsidRPr="0042187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  <w:t>Revisão e melhoria contínua:</w:t>
      </w:r>
    </w:p>
    <w:p w14:paraId="10340D1B" w14:textId="77777777" w:rsidR="0042187A" w:rsidRPr="0042187A" w:rsidRDefault="0042187A" w:rsidP="0042187A">
      <w:pPr>
        <w:numPr>
          <w:ilvl w:val="1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</w:pPr>
      <w:r w:rsidRPr="0042187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  <w:t>Realizar revisões periódicas do plano de contingência para garantir que esteja atualizado com as mudanças na infraestrutura de T.I. e nos riscos enfrentados.</w:t>
      </w:r>
    </w:p>
    <w:p w14:paraId="37E7871F" w14:textId="77777777" w:rsidR="0042187A" w:rsidRPr="0042187A" w:rsidRDefault="0042187A" w:rsidP="0042187A">
      <w:pPr>
        <w:numPr>
          <w:ilvl w:val="1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</w:pPr>
      <w:r w:rsidRPr="0042187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  <w:lastRenderedPageBreak/>
        <w:t>Realizar exercícios de simulação regulares para testar a eficácia do plano de contingência e identificar áreas de melhoria.</w:t>
      </w:r>
    </w:p>
    <w:p w14:paraId="48378096" w14:textId="77777777" w:rsidR="0042187A" w:rsidRPr="0042187A" w:rsidRDefault="0042187A" w:rsidP="0042187A">
      <w:pPr>
        <w:numPr>
          <w:ilvl w:val="1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</w:pPr>
      <w:r w:rsidRPr="0042187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  <w:t>Manter um processo contínuo de melhoria, atualizando o plano conforme necessário e implementando as lições aprendidas com incidentes anteriores.</w:t>
      </w:r>
    </w:p>
    <w:p w14:paraId="144CC98B" w14:textId="77777777" w:rsidR="0042187A" w:rsidRPr="0042187A" w:rsidRDefault="0042187A" w:rsidP="0042187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</w:pPr>
      <w:r w:rsidRPr="0042187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pt-BR"/>
          <w14:ligatures w14:val="none"/>
        </w:rPr>
        <w:t>É importante adaptar este plano de contingência às necessidades e características específicas do Conselho Regional de Engenharia e Agronomia do Acre, levando em consideração seus sistemas de T.I. existentes, recursos disponíveis e requisitos de segurança. Recomenda-se envolver profissionais de T.I. qualificados para auxiliar na criação e implementação do plano de contingência.</w:t>
      </w:r>
    </w:p>
    <w:p w14:paraId="568734CC" w14:textId="77777777" w:rsidR="0042187A" w:rsidRDefault="0042187A" w:rsidP="0042187A"/>
    <w:sectPr w:rsidR="0042187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932BA" w14:textId="77777777" w:rsidR="006304E5" w:rsidRDefault="006304E5" w:rsidP="0042187A">
      <w:pPr>
        <w:spacing w:after="0" w:line="240" w:lineRule="auto"/>
      </w:pPr>
      <w:r>
        <w:separator/>
      </w:r>
    </w:p>
  </w:endnote>
  <w:endnote w:type="continuationSeparator" w:id="0">
    <w:p w14:paraId="0DBE4F5E" w14:textId="77777777" w:rsidR="006304E5" w:rsidRDefault="006304E5" w:rsidP="0042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79EA" w14:textId="77777777" w:rsidR="0042187A" w:rsidRDefault="0042187A" w:rsidP="0042187A">
    <w:pPr>
      <w:pStyle w:val="Rodap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gabinete@creaac.org.br</w:t>
    </w:r>
  </w:p>
  <w:p w14:paraId="2EFB07DC" w14:textId="77777777" w:rsidR="0042187A" w:rsidRDefault="0042187A" w:rsidP="0042187A">
    <w:pPr>
      <w:pStyle w:val="Rodap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R. Isaura Parente, 3085 - Conj. Tangara                                                                          creaac.org.br</w:t>
    </w:r>
  </w:p>
  <w:p w14:paraId="6F695484" w14:textId="77777777" w:rsidR="0042187A" w:rsidRDefault="0042187A" w:rsidP="0042187A">
    <w:pPr>
      <w:pStyle w:val="Rodap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Rio Branco - AC, CEP: 69915-000</w:t>
    </w:r>
  </w:p>
  <w:p w14:paraId="36DC44BD" w14:textId="77777777" w:rsidR="0042187A" w:rsidRPr="00253355" w:rsidRDefault="0042187A" w:rsidP="0042187A">
    <w:pPr>
      <w:pStyle w:val="Rodap"/>
      <w:tabs>
        <w:tab w:val="clear" w:pos="4252"/>
        <w:tab w:val="clear" w:pos="8504"/>
        <w:tab w:val="left" w:pos="4710"/>
      </w:tabs>
    </w:pPr>
    <w:r>
      <w:tab/>
      <w:t xml:space="preserve">                                          </w:t>
    </w:r>
    <w:r>
      <w:rPr>
        <w:noProof/>
      </w:rPr>
      <w:drawing>
        <wp:inline distT="0" distB="0" distL="0" distR="0" wp14:anchorId="3B45D902" wp14:editId="01A2ED1C">
          <wp:extent cx="800100" cy="214506"/>
          <wp:effectExtent l="0" t="0" r="0" b="0"/>
          <wp:docPr id="6" name="Imagem 6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Form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015" cy="239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8212F7" w14:textId="77777777" w:rsidR="0042187A" w:rsidRDefault="004218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7FC91" w14:textId="77777777" w:rsidR="006304E5" w:rsidRDefault="006304E5" w:rsidP="0042187A">
      <w:pPr>
        <w:spacing w:after="0" w:line="240" w:lineRule="auto"/>
      </w:pPr>
      <w:r>
        <w:separator/>
      </w:r>
    </w:p>
  </w:footnote>
  <w:footnote w:type="continuationSeparator" w:id="0">
    <w:p w14:paraId="313135AD" w14:textId="77777777" w:rsidR="006304E5" w:rsidRDefault="006304E5" w:rsidP="00421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5762F" w14:textId="77777777" w:rsidR="0042187A" w:rsidRDefault="0042187A" w:rsidP="0042187A">
    <w:pPr>
      <w:pStyle w:val="Sumrio1"/>
      <w:ind w:right="-496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</w:t>
    </w:r>
    <w:r>
      <w:rPr>
        <w:rFonts w:ascii="Arial" w:hAnsi="Arial" w:cs="Arial"/>
        <w:noProof/>
      </w:rPr>
      <w:drawing>
        <wp:inline distT="0" distB="0" distL="0" distR="0" wp14:anchorId="4B967F7B" wp14:editId="67A56B4C">
          <wp:extent cx="838200" cy="828675"/>
          <wp:effectExtent l="0" t="0" r="0" b="0"/>
          <wp:docPr id="5" name="Imagem 1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nacional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301" cy="8337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DB39475" w14:textId="77777777" w:rsidR="0042187A" w:rsidRPr="0011717E" w:rsidRDefault="0042187A" w:rsidP="0042187A">
    <w:pPr>
      <w:pStyle w:val="Sumrio1"/>
      <w:ind w:right="-496"/>
      <w:jc w:val="center"/>
      <w:rPr>
        <w:rFonts w:ascii="Arial" w:hAnsi="Arial" w:cs="Arial"/>
        <w:sz w:val="20"/>
      </w:rPr>
    </w:pPr>
  </w:p>
  <w:p w14:paraId="7D532CDC" w14:textId="77777777" w:rsidR="0042187A" w:rsidRPr="00E7683C" w:rsidRDefault="0042187A" w:rsidP="0042187A">
    <w:pPr>
      <w:pStyle w:val="Sumrio1"/>
      <w:ind w:right="-1"/>
      <w:jc w:val="center"/>
      <w:rPr>
        <w:rFonts w:ascii="Verdana" w:hAnsi="Verdana" w:cs="Arial"/>
        <w:b/>
        <w:sz w:val="20"/>
      </w:rPr>
    </w:pPr>
    <w:r w:rsidRPr="00E7683C">
      <w:rPr>
        <w:rFonts w:ascii="Verdana" w:hAnsi="Verdana" w:cs="Arial"/>
        <w:b/>
        <w:sz w:val="20"/>
      </w:rPr>
      <w:t>SERVIÇO PÚBLICO FEDERAL</w:t>
    </w:r>
  </w:p>
  <w:p w14:paraId="7AECE463" w14:textId="77777777" w:rsidR="0042187A" w:rsidRPr="00E7683C" w:rsidRDefault="0042187A" w:rsidP="0042187A">
    <w:pPr>
      <w:pStyle w:val="Sumrio1"/>
      <w:ind w:right="-1"/>
      <w:jc w:val="center"/>
      <w:rPr>
        <w:rFonts w:ascii="Verdana" w:hAnsi="Verdana" w:cs="Arial"/>
        <w:b/>
        <w:sz w:val="20"/>
      </w:rPr>
    </w:pPr>
    <w:r w:rsidRPr="00E7683C">
      <w:rPr>
        <w:rFonts w:ascii="Verdana" w:hAnsi="Verdana" w:cs="Arial"/>
        <w:b/>
        <w:sz w:val="20"/>
      </w:rPr>
      <w:t>CONSELHO REGIONAL DE ENGENHARIA E AGRONOMIA DO ACRE CREA-AC</w:t>
    </w:r>
  </w:p>
  <w:p w14:paraId="6D029C87" w14:textId="77777777" w:rsidR="0042187A" w:rsidRPr="00E7683C" w:rsidRDefault="0042187A" w:rsidP="0042187A">
    <w:pPr>
      <w:pStyle w:val="Sumrio1"/>
      <w:jc w:val="center"/>
      <w:rPr>
        <w:rFonts w:ascii="Verdana" w:hAnsi="Verdana" w:cs="Arial"/>
        <w:b/>
        <w:sz w:val="20"/>
      </w:rPr>
    </w:pPr>
    <w:r>
      <w:rPr>
        <w:rFonts w:ascii="Verdana" w:hAnsi="Verdana" w:cs="Arial"/>
        <w:b/>
        <w:sz w:val="20"/>
      </w:rPr>
      <w:t>PROCURADORIA JURÍDICA</w:t>
    </w:r>
  </w:p>
  <w:p w14:paraId="183BDCE8" w14:textId="77777777" w:rsidR="0042187A" w:rsidRPr="004A7F45" w:rsidRDefault="0042187A" w:rsidP="0042187A">
    <w:pPr>
      <w:pStyle w:val="Cabealho"/>
    </w:pPr>
  </w:p>
  <w:p w14:paraId="2AFD4F47" w14:textId="77777777" w:rsidR="0042187A" w:rsidRDefault="004218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E58F5"/>
    <w:multiLevelType w:val="multilevel"/>
    <w:tmpl w:val="E8048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023BD7"/>
    <w:multiLevelType w:val="multilevel"/>
    <w:tmpl w:val="B0A6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836180">
    <w:abstractNumId w:val="0"/>
  </w:num>
  <w:num w:numId="2" w16cid:durableId="1450665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7A"/>
    <w:rsid w:val="0042187A"/>
    <w:rsid w:val="004A6825"/>
    <w:rsid w:val="006304E5"/>
    <w:rsid w:val="00AC0EBB"/>
    <w:rsid w:val="00E4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2F8A"/>
  <w15:chartTrackingRefBased/>
  <w15:docId w15:val="{EA521A5C-4BFC-4FAF-97A6-8E3AA308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421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187A"/>
  </w:style>
  <w:style w:type="paragraph" w:styleId="Rodap">
    <w:name w:val="footer"/>
    <w:basedOn w:val="Normal"/>
    <w:link w:val="RodapChar"/>
    <w:uiPriority w:val="99"/>
    <w:unhideWhenUsed/>
    <w:rsid w:val="00421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187A"/>
  </w:style>
  <w:style w:type="paragraph" w:styleId="Sumrio1">
    <w:name w:val="toc 1"/>
    <w:basedOn w:val="Normal"/>
    <w:next w:val="Normal"/>
    <w:autoRedefine/>
    <w:semiHidden/>
    <w:rsid w:val="0042187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 ACRE</dc:creator>
  <cp:keywords/>
  <dc:description/>
  <cp:lastModifiedBy>CREA ACRE</cp:lastModifiedBy>
  <cp:revision>4</cp:revision>
  <dcterms:created xsi:type="dcterms:W3CDTF">2023-06-22T15:04:00Z</dcterms:created>
  <dcterms:modified xsi:type="dcterms:W3CDTF">2023-06-22T15:11:00Z</dcterms:modified>
</cp:coreProperties>
</file>